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w72p3lygglo8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R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[R]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Tangram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Driehoek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Blauw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Tangramsets 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(iedere set een heeft eigen kleur en bestaat uit 7 vormen)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Opdrachtbladen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Antwoordblad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‘r’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maken een figuur na met geometrische vormen.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de ploeg een tangramset en opdrachtblad.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Controleer, als de ploeg klaar is, de opdracht aan de hand van het antwoordblad.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Is de figuur niet goed nagemaakt? Dan kan de ploeg het opnieuw proberen.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Is de figuur correct nagemaakt? 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Alle vormen van de tangramset moeten gebruikt worden.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vormen van de tangramset mogen niet aangepast worden.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Zorg ervoor dat de ploeg na de opdracht de hele set en het opdrachtblad inlevert.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ploeg een van de opdrachtbladen al eens gemaakt heeft geef je ze een ander opdrachtblad.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bel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