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b5yscfudtwmk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Centrale Post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[0]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Centrale Post</w:t>
            </w:r>
          </w:p>
        </w:tc>
      </w:tr>
      <w:tr>
        <w:trPr>
          <w:cantSplit w:val="0"/>
          <w:trHeight w:val="540.0919999999999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n.v.t.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n.v.t.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Laptop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Thermometer Pieter/Charlotte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Biertafels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Bierbanken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Pioniertouw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“Balie” posters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Glitterpennen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Nietmachine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Ploegen komen hun “content” uploaden bij de Centrale Post.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Check of hun subkamp bou jou kan inleveren </w:t>
              <w:br w:type="textWrapping"/>
            </w:r>
            <w:r w:rsidDel="00000000" w:rsidR="00000000" w:rsidRPr="00000000">
              <w:rPr>
                <w:rFonts w:ascii="Nunito" w:cs="Nunito" w:eastAsia="Nunito" w:hAnsi="Nunito"/>
                <w:i w:val="1"/>
                <w:rtl w:val="0"/>
              </w:rPr>
              <w:t xml:space="preserve">(er zijn twee “balies” één voor de subkampen die Pieter steunen, één voor de subkampen die Charlotte steunen).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</w:t>
            </w: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of er drie stempels in de laatste ingevulde rij van hun boekje staan.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Zo ja:</w:t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2"/>
              </w:numPr>
              <w:ind w:left="144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dan schrijf je in het boekje de huidige tijd op die rij op.</w:t>
            </w:r>
          </w:p>
          <w:p w:rsidR="00000000" w:rsidDel="00000000" w:rsidP="00000000" w:rsidRDefault="00000000" w:rsidRPr="00000000" w14:paraId="00000023">
            <w:pPr>
              <w:numPr>
                <w:ilvl w:val="1"/>
                <w:numId w:val="2"/>
              </w:numPr>
              <w:ind w:left="144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Genereer een nieuwe trend (met de laptop) en noteer de symbolen in de vakjes boven de eerstvolgende rij.</w:t>
            </w:r>
          </w:p>
          <w:p w:rsidR="00000000" w:rsidDel="00000000" w:rsidP="00000000" w:rsidRDefault="00000000" w:rsidRPr="00000000" w14:paraId="00000024">
            <w:pPr>
              <w:numPr>
                <w:ilvl w:val="1"/>
                <w:numId w:val="2"/>
              </w:numPr>
              <w:ind w:left="144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Geef het boekje terug. 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Zo niet, stuur de ploeg terug het speelveld in.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Het kan zijn dat een boekje vol zit, bevestig dan met een nietje een extra scoreblad aan het boekje. Noteer het ploegnummer op het scoreblad en geef het boekje terug.</w:t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