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uinomtvp3r1w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T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[T]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Stempelpost 1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Kruis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Oranje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‘t’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komen een stempel halen, verder is er geen opdracht.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n.v.t.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